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5" w:rsidRPr="000E3C44" w:rsidRDefault="00A51F75" w:rsidP="00A51F75">
      <w:pPr>
        <w:ind w:firstLine="708"/>
        <w:rPr>
          <w:b/>
          <w:sz w:val="28"/>
          <w:szCs w:val="28"/>
          <w:u w:val="single"/>
        </w:rPr>
      </w:pPr>
      <w:r w:rsidRPr="005F081A">
        <w:rPr>
          <w:b/>
          <w:sz w:val="28"/>
          <w:szCs w:val="28"/>
          <w:u w:val="single"/>
        </w:rPr>
        <w:t xml:space="preserve">Církevní střední zdravotnická škola </w:t>
      </w:r>
      <w:r>
        <w:rPr>
          <w:b/>
          <w:sz w:val="28"/>
          <w:szCs w:val="28"/>
          <w:u w:val="single"/>
        </w:rPr>
        <w:t>Jana Pavla II.,</w:t>
      </w:r>
      <w:r w:rsidRPr="005F081A">
        <w:rPr>
          <w:b/>
          <w:sz w:val="28"/>
          <w:szCs w:val="28"/>
          <w:u w:val="single"/>
        </w:rPr>
        <w:t xml:space="preserve"> Ječná 33, Praha 2</w:t>
      </w:r>
    </w:p>
    <w:p w:rsidR="00A51F75" w:rsidRDefault="00A51F75" w:rsidP="00A51F75">
      <w:pPr>
        <w:pStyle w:val="Nadpis2"/>
        <w:spacing w:line="240" w:lineRule="auto"/>
        <w:rPr>
          <w:u w:val="single"/>
        </w:rPr>
      </w:pPr>
    </w:p>
    <w:p w:rsidR="00A51F75" w:rsidRPr="00A51F75" w:rsidRDefault="00A51F75" w:rsidP="00A51F75">
      <w:pPr>
        <w:pStyle w:val="Nadpis2"/>
        <w:spacing w:line="240" w:lineRule="auto"/>
        <w:rPr>
          <w:highlight w:val="yellow"/>
        </w:rPr>
      </w:pPr>
      <w:r w:rsidRPr="00A51F75">
        <w:rPr>
          <w:highlight w:val="yellow"/>
        </w:rPr>
        <w:t xml:space="preserve">Přehled témat </w:t>
      </w:r>
      <w:r w:rsidRPr="00A51F75">
        <w:rPr>
          <w:highlight w:val="yellow"/>
        </w:rPr>
        <w:t>nepovinných maturitních zkoušek profilové části</w:t>
      </w:r>
    </w:p>
    <w:p w:rsidR="00A51F75" w:rsidRDefault="00A51F75" w:rsidP="00A51F75">
      <w:pPr>
        <w:rPr>
          <w:b/>
        </w:rPr>
      </w:pPr>
      <w:r w:rsidRPr="00A51F75">
        <w:rPr>
          <w:b/>
          <w:highlight w:val="yellow"/>
        </w:rPr>
        <w:t>Obor: Zdravotnický asistent</w:t>
      </w:r>
      <w:r w:rsidRPr="00A51F75">
        <w:rPr>
          <w:b/>
          <w:highlight w:val="yellow"/>
        </w:rPr>
        <w:t xml:space="preserve"> denní i zkrácené dálkové studium</w:t>
      </w:r>
    </w:p>
    <w:p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A51F75" w:rsidRDefault="00A51F75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Pr="00A51F75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  <w:r w:rsidRPr="00A51F75">
        <w:rPr>
          <w:b/>
        </w:rPr>
        <w:t xml:space="preserve">Předmět: </w:t>
      </w:r>
      <w:proofErr w:type="gramStart"/>
      <w:r w:rsidRPr="00A51F75">
        <w:rPr>
          <w:b/>
          <w:bCs/>
          <w:szCs w:val="24"/>
        </w:rPr>
        <w:t>KŘESŤANSKÁ  ETIKA</w:t>
      </w:r>
      <w:proofErr w:type="gramEnd"/>
      <w:r w:rsidRPr="00A51F75">
        <w:rPr>
          <w:b/>
        </w:rPr>
        <w:t xml:space="preserve"> </w:t>
      </w:r>
      <w:bookmarkStart w:id="0" w:name="_GoBack"/>
      <w:bookmarkEnd w:id="0"/>
    </w:p>
    <w:p w:rsidR="001B0C66" w:rsidRDefault="001B0C66" w:rsidP="001B0C66">
      <w:pPr>
        <w:jc w:val="both"/>
        <w:rPr>
          <w:b/>
          <w:sz w:val="26"/>
          <w:szCs w:val="26"/>
        </w:rPr>
      </w:pPr>
    </w:p>
    <w:p w:rsidR="001B0C66" w:rsidRPr="008149BE" w:rsidRDefault="001B0C66" w:rsidP="001B0C66">
      <w:pPr>
        <w:jc w:val="both"/>
        <w:rPr>
          <w:b/>
          <w:i/>
          <w:u w:val="single"/>
        </w:rPr>
      </w:pPr>
      <w:r w:rsidRPr="001B0C66">
        <w:rPr>
          <w:b/>
          <w:i/>
          <w:highlight w:val="cyan"/>
          <w:u w:val="single"/>
        </w:rPr>
        <w:t>Ústní maturitní zkouška - nepovinná</w:t>
      </w:r>
    </w:p>
    <w:p w:rsidR="001B0C66" w:rsidRDefault="001B0C66" w:rsidP="001B0C66">
      <w:pPr>
        <w:overflowPunct/>
        <w:rPr>
          <w:szCs w:val="24"/>
        </w:rPr>
      </w:pP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1. Etika, křesťanská etika, mravní normy, Dekalog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2. 1., 2., 3. přikázání Dekalogu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3.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Cs w:val="24"/>
          </w:rPr>
          <w:t>4. a</w:t>
        </w:r>
      </w:smartTag>
      <w:r>
        <w:rPr>
          <w:b/>
          <w:szCs w:val="24"/>
        </w:rPr>
        <w:t xml:space="preserve"> 6. přikázání Dekalogu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4. 5. přikázání Dekalogu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5. </w:t>
      </w:r>
      <w:smartTag w:uri="urn:schemas-microsoft-com:office:smarttags" w:element="metricconverter">
        <w:smartTagPr>
          <w:attr w:name="ProductID" w:val="7. a"/>
        </w:smartTagPr>
        <w:r>
          <w:rPr>
            <w:b/>
            <w:szCs w:val="24"/>
          </w:rPr>
          <w:t>7. a</w:t>
        </w:r>
      </w:smartTag>
      <w:r>
        <w:rPr>
          <w:b/>
          <w:szCs w:val="24"/>
        </w:rPr>
        <w:t xml:space="preserve"> 8. přikázání Dekalogu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 xml:space="preserve">6. </w:t>
      </w:r>
      <w:smartTag w:uri="urn:schemas-microsoft-com:office:smarttags" w:element="metricconverter">
        <w:smartTagPr>
          <w:attr w:name="ProductID" w:val="9. a"/>
        </w:smartTagPr>
        <w:r>
          <w:rPr>
            <w:b/>
            <w:szCs w:val="24"/>
          </w:rPr>
          <w:t>9. a</w:t>
        </w:r>
      </w:smartTag>
      <w:r>
        <w:rPr>
          <w:b/>
          <w:szCs w:val="24"/>
        </w:rPr>
        <w:t xml:space="preserve"> 10. přikázání Dekalogu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7. Křesťanská bohoslužba, mše svatá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8. Liturgický rok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9. Náboženství, religionistika, sekty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10. Čínské národní náboženství, náboženství Japonska, indické národní náboženství, buddhismus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11. Islám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12. Judaismus, křesťanství – historie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13. Křesťanství – nauka a principy víry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14. Bible, církve, ekumenismus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15. Pravidla správního jednání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16. Svědomí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17. Ctnosti, dary Ducha svatého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18. Neřesti, vášně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19. Hodnoty, ideál, smysl života a lidské existence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20. Křesťanské svátosti – křest, biřmování, eucharistie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21. Křesťanské svátosti – svátost smíření, nemocných, manželství, kněžství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22. Pastorální péče o vybrané skupiny klientů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23. Interrupce, asistovaná reprodukce, redukce, indukce</w:t>
      </w:r>
    </w:p>
    <w:p w:rsidR="001B0C66" w:rsidRDefault="001B0C66" w:rsidP="001B0C66">
      <w:pPr>
        <w:overflowPunct/>
        <w:rPr>
          <w:b/>
          <w:szCs w:val="24"/>
        </w:rPr>
      </w:pPr>
      <w:r>
        <w:rPr>
          <w:b/>
          <w:szCs w:val="24"/>
        </w:rPr>
        <w:t>24. Eugenika, eutanázie</w:t>
      </w:r>
    </w:p>
    <w:p w:rsidR="001B0C66" w:rsidRDefault="001B0C66" w:rsidP="001B0C66">
      <w:pPr>
        <w:tabs>
          <w:tab w:val="num" w:pos="720"/>
        </w:tabs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25. Život a odkaz Jana Pavla II. a dalších novodobých světců</w:t>
      </w:r>
    </w:p>
    <w:p w:rsidR="001B0C66" w:rsidRDefault="001B0C66" w:rsidP="001B0C66">
      <w:pPr>
        <w:tabs>
          <w:tab w:val="num" w:pos="720"/>
        </w:tabs>
        <w:overflowPunct/>
        <w:autoSpaceDE/>
        <w:adjustRightInd/>
        <w:rPr>
          <w:b/>
          <w:szCs w:val="24"/>
        </w:rPr>
      </w:pPr>
    </w:p>
    <w:p w:rsidR="001B0C66" w:rsidRDefault="001B0C66" w:rsidP="001B0C66">
      <w:pPr>
        <w:pStyle w:val="Nadpis2"/>
        <w:jc w:val="both"/>
      </w:pPr>
    </w:p>
    <w:p w:rsidR="00A51F75" w:rsidRDefault="001B0C66" w:rsidP="001B0C66">
      <w:pPr>
        <w:pStyle w:val="Nadpis2"/>
        <w:jc w:val="both"/>
        <w:rPr>
          <w:b w:val="0"/>
        </w:rPr>
      </w:pPr>
      <w:r>
        <w:rPr>
          <w:b w:val="0"/>
        </w:rPr>
        <w:br w:type="page"/>
      </w:r>
    </w:p>
    <w:p w:rsidR="00A51F75" w:rsidRDefault="00A51F75" w:rsidP="001B0C66">
      <w:pPr>
        <w:pStyle w:val="Nadpis2"/>
        <w:jc w:val="both"/>
        <w:rPr>
          <w:b w:val="0"/>
        </w:rPr>
      </w:pPr>
    </w:p>
    <w:p w:rsidR="001B0C66" w:rsidRPr="00E10A86" w:rsidRDefault="001B0C66" w:rsidP="001B0C66">
      <w:pPr>
        <w:pStyle w:val="Nadpis2"/>
        <w:jc w:val="both"/>
      </w:pPr>
      <w:r w:rsidRPr="00E10A86">
        <w:t xml:space="preserve">Předmět: </w:t>
      </w:r>
      <w:r>
        <w:t xml:space="preserve">SOMATOLOGIE </w:t>
      </w:r>
    </w:p>
    <w:p w:rsidR="001B0C66" w:rsidRPr="00AE684C" w:rsidRDefault="001B0C66" w:rsidP="001B0C66">
      <w:pPr>
        <w:jc w:val="both"/>
        <w:rPr>
          <w:b/>
          <w:sz w:val="26"/>
          <w:szCs w:val="26"/>
        </w:rPr>
      </w:pPr>
    </w:p>
    <w:p w:rsidR="001B0C66" w:rsidRPr="008149BE" w:rsidRDefault="001B0C66" w:rsidP="001B0C66">
      <w:pPr>
        <w:jc w:val="both"/>
        <w:rPr>
          <w:b/>
          <w:i/>
          <w:u w:val="single"/>
        </w:rPr>
      </w:pPr>
      <w:r w:rsidRPr="001B0C66">
        <w:rPr>
          <w:b/>
          <w:i/>
          <w:highlight w:val="cyan"/>
          <w:u w:val="single"/>
        </w:rPr>
        <w:t>Ústní maturitní zkouška - nepovinná</w:t>
      </w:r>
    </w:p>
    <w:p w:rsidR="001B0C66" w:rsidRDefault="001B0C66" w:rsidP="001B0C66">
      <w:pPr>
        <w:jc w:val="center"/>
        <w:outlineLvl w:val="0"/>
      </w:pPr>
    </w:p>
    <w:p w:rsidR="001B0C66" w:rsidRDefault="001B0C66" w:rsidP="001B0C66"/>
    <w:p w:rsidR="001B0C66" w:rsidRDefault="001B0C66" w:rsidP="001B0C66"/>
    <w:p w:rsidR="001B0C66" w:rsidRPr="000F32D2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0F32D2">
        <w:rPr>
          <w:b/>
        </w:rPr>
        <w:t>Buňka základní stavební a funkční jednotka organismů</w:t>
      </w:r>
    </w:p>
    <w:p w:rsidR="001B0C66" w:rsidRPr="002B3D51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2B3D51">
        <w:rPr>
          <w:b/>
        </w:rPr>
        <w:t>Tkáně</w:t>
      </w:r>
    </w:p>
    <w:p w:rsidR="001B0C66" w:rsidRPr="002B3D51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2B3D51">
        <w:rPr>
          <w:b/>
        </w:rPr>
        <w:t>Pohybový systém</w:t>
      </w:r>
    </w:p>
    <w:p w:rsidR="001B0C66" w:rsidRPr="008C4C7D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8C4C7D">
        <w:rPr>
          <w:b/>
        </w:rPr>
        <w:t>Lebka, páteř a kostra hrudníku</w:t>
      </w:r>
    </w:p>
    <w:p w:rsidR="001B0C66" w:rsidRPr="005621D4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5621D4">
        <w:rPr>
          <w:b/>
        </w:rPr>
        <w:t>Kostra končetin</w:t>
      </w:r>
    </w:p>
    <w:p w:rsidR="001B0C66" w:rsidRPr="00E10E71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E10E71">
        <w:rPr>
          <w:b/>
        </w:rPr>
        <w:t>Kosterní svaly</w:t>
      </w:r>
    </w:p>
    <w:p w:rsidR="001B0C66" w:rsidRPr="007D262C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7D262C">
        <w:rPr>
          <w:b/>
        </w:rPr>
        <w:t>Krev</w:t>
      </w:r>
    </w:p>
    <w:p w:rsidR="001B0C66" w:rsidRPr="006D13AB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6D13AB">
        <w:rPr>
          <w:b/>
        </w:rPr>
        <w:t>Krevní skupiny, zástava krvácení</w:t>
      </w:r>
    </w:p>
    <w:p w:rsidR="001B0C66" w:rsidRPr="00863FBA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863FBA">
        <w:rPr>
          <w:b/>
        </w:rPr>
        <w:t>Srdce</w:t>
      </w:r>
    </w:p>
    <w:p w:rsidR="001B0C66" w:rsidRPr="007E0BC7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7E0BC7">
        <w:rPr>
          <w:b/>
        </w:rPr>
        <w:t>Oběhový systém</w:t>
      </w:r>
    </w:p>
    <w:p w:rsidR="001B0C66" w:rsidRPr="00FE659C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FE659C">
        <w:rPr>
          <w:b/>
        </w:rPr>
        <w:t>Dýchací systém</w:t>
      </w:r>
    </w:p>
    <w:p w:rsidR="001B0C66" w:rsidRPr="00894433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894433">
        <w:rPr>
          <w:b/>
        </w:rPr>
        <w:t>Plíce</w:t>
      </w:r>
    </w:p>
    <w:p w:rsidR="001B0C66" w:rsidRPr="00894433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894433">
        <w:rPr>
          <w:b/>
        </w:rPr>
        <w:t>Trávicí systém</w:t>
      </w:r>
    </w:p>
    <w:p w:rsidR="001B0C66" w:rsidRPr="00700002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700002">
        <w:rPr>
          <w:b/>
        </w:rPr>
        <w:t>Žaludek, tenké a tlusté střevo</w:t>
      </w:r>
    </w:p>
    <w:p w:rsidR="001B0C66" w:rsidRPr="0037444D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37444D">
        <w:rPr>
          <w:b/>
        </w:rPr>
        <w:t>Játra, žlučník</w:t>
      </w:r>
    </w:p>
    <w:p w:rsidR="001B0C66" w:rsidRPr="0037444D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37444D">
        <w:rPr>
          <w:b/>
        </w:rPr>
        <w:t>Slinivka břišní</w:t>
      </w:r>
    </w:p>
    <w:p w:rsidR="001B0C66" w:rsidRPr="00F549A2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F549A2">
        <w:rPr>
          <w:b/>
        </w:rPr>
        <w:t>Močové ústrojí</w:t>
      </w:r>
    </w:p>
    <w:p w:rsidR="001B0C66" w:rsidRPr="00CB6220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CB6220">
        <w:rPr>
          <w:b/>
        </w:rPr>
        <w:t>Kožní systém</w:t>
      </w:r>
    </w:p>
    <w:p w:rsidR="001B0C66" w:rsidRPr="00CB6220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CB6220">
        <w:rPr>
          <w:b/>
        </w:rPr>
        <w:t>Pohlavní systém muže</w:t>
      </w:r>
    </w:p>
    <w:p w:rsidR="001B0C66" w:rsidRPr="005D1F41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5D1F41">
        <w:rPr>
          <w:b/>
        </w:rPr>
        <w:t>Pohlavní systém ženy</w:t>
      </w:r>
    </w:p>
    <w:p w:rsidR="001B0C66" w:rsidRPr="00250882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250882">
        <w:rPr>
          <w:b/>
        </w:rPr>
        <w:t>Ovulační a menstruační cyklus</w:t>
      </w:r>
    </w:p>
    <w:p w:rsidR="001B0C66" w:rsidRPr="00250882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250882">
        <w:rPr>
          <w:b/>
        </w:rPr>
        <w:t>Endokrinní systém</w:t>
      </w:r>
    </w:p>
    <w:p w:rsidR="001B0C66" w:rsidRPr="00B309CD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B309CD">
        <w:rPr>
          <w:b/>
        </w:rPr>
        <w:t>Hypofýza</w:t>
      </w:r>
    </w:p>
    <w:p w:rsidR="001B0C66" w:rsidRPr="00E36B41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E36B41">
        <w:rPr>
          <w:b/>
        </w:rPr>
        <w:t>Smyslové orgány</w:t>
      </w:r>
    </w:p>
    <w:p w:rsidR="001B0C66" w:rsidRPr="00CF18D4" w:rsidRDefault="001B0C66" w:rsidP="001B0C66">
      <w:pPr>
        <w:numPr>
          <w:ilvl w:val="0"/>
          <w:numId w:val="3"/>
        </w:numPr>
        <w:outlineLvl w:val="0"/>
        <w:rPr>
          <w:b/>
        </w:rPr>
      </w:pPr>
      <w:r w:rsidRPr="00CF18D4">
        <w:rPr>
          <w:b/>
        </w:rPr>
        <w:t>Nervový systém</w:t>
      </w: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</w:p>
    <w:p w:rsidR="001B0C66" w:rsidRPr="00732ECE" w:rsidRDefault="001B0C66" w:rsidP="001B0C66">
      <w:pPr>
        <w:pStyle w:val="Zpat"/>
        <w:tabs>
          <w:tab w:val="clear" w:pos="4536"/>
          <w:tab w:val="clear" w:pos="9072"/>
        </w:tabs>
        <w:rPr>
          <w:b/>
        </w:rPr>
      </w:pPr>
      <w:r w:rsidRPr="00732ECE">
        <w:rPr>
          <w:b/>
        </w:rPr>
        <w:t>Předmět: INFORMAČNÍ A KOMUNIKAČNÍ TECHNOLOGIE</w:t>
      </w:r>
      <w:r>
        <w:rPr>
          <w:b/>
        </w:rPr>
        <w:t xml:space="preserve"> </w:t>
      </w:r>
    </w:p>
    <w:p w:rsidR="001B0C66" w:rsidRDefault="001B0C66" w:rsidP="001B0C66">
      <w:pPr>
        <w:jc w:val="both"/>
        <w:outlineLvl w:val="0"/>
        <w:rPr>
          <w:b/>
          <w:szCs w:val="24"/>
          <w:u w:val="single"/>
        </w:rPr>
      </w:pPr>
    </w:p>
    <w:p w:rsidR="001B0C66" w:rsidRPr="00A812F3" w:rsidRDefault="001B0C66" w:rsidP="001B0C66">
      <w:pPr>
        <w:jc w:val="both"/>
        <w:outlineLvl w:val="0"/>
        <w:rPr>
          <w:b/>
          <w:i/>
          <w:szCs w:val="24"/>
          <w:u w:val="single"/>
        </w:rPr>
      </w:pPr>
      <w:r w:rsidRPr="001B0C66">
        <w:rPr>
          <w:b/>
          <w:i/>
          <w:szCs w:val="24"/>
          <w:highlight w:val="cyan"/>
          <w:u w:val="single"/>
        </w:rPr>
        <w:t>Ústní maturitní zkouška s praktickou prezentací - nepovinná</w:t>
      </w:r>
    </w:p>
    <w:p w:rsidR="001B0C66" w:rsidRPr="00C379F2" w:rsidRDefault="001B0C66" w:rsidP="001B0C66">
      <w:pPr>
        <w:ind w:left="360"/>
        <w:jc w:val="both"/>
      </w:pPr>
    </w:p>
    <w:p w:rsidR="001B0C66" w:rsidRPr="00C379F2" w:rsidRDefault="001B0C66" w:rsidP="001B0C66">
      <w:pPr>
        <w:ind w:left="360"/>
        <w:jc w:val="both"/>
      </w:pP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Základní odborné pojmy ve výpočetní technice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Jednotky používané ve výpočetní technice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Digitální záznam informací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 xml:space="preserve">Historie a vývoj počítačů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Hardware – funkce základních počítačových komponent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Hardware – Von Neumannova koncepce počítače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 xml:space="preserve">Hardware – periferní zařízení počítače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Paměťová média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Počítačové sítě – historie, topologie sítí, dělení podle velikosti, protokoly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Počítačové sítě – základní technické díly pro výstavbu sítě, parametry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Internet – historie internetu, služby internetu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Internet – struktura webu, domény, publikování vlastních stránek na internetu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Internet – možnosti připojení a zajištění přístupu do internetu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Přípony a konverze souborů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Počítačová grafika – základní pojmy a principy, rastrová a vektorová grafika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Textové editory – principy funkce a oblasti využívání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Tabulkové procesory – principy funkce a oblasti využívání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Prezentační programy – principy funkce a oblasti využívání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Grafické programy – principy funkce a oblasti využívání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Tvorba WWW stránek, HTML editory, jednotlivé části HTML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Software – druhy software, druhy licencí.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left" w:pos="1610"/>
          <w:tab w:val="num" w:pos="3060"/>
        </w:tabs>
        <w:overflowPunct/>
        <w:autoSpaceDE/>
        <w:autoSpaceDN/>
        <w:adjustRightInd/>
        <w:ind w:left="360"/>
        <w:textAlignment w:val="auto"/>
        <w:rPr>
          <w:b/>
        </w:rPr>
      </w:pPr>
      <w:r w:rsidRPr="00732ECE">
        <w:rPr>
          <w:b/>
        </w:rPr>
        <w:t>Operační systémy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>Počítačové viry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Video - zpracovávání videa, nutný hardware a vhodný software. </w:t>
      </w:r>
    </w:p>
    <w:p w:rsidR="001B0C66" w:rsidRPr="00732ECE" w:rsidRDefault="001B0C66" w:rsidP="001B0C66">
      <w:pPr>
        <w:numPr>
          <w:ilvl w:val="0"/>
          <w:numId w:val="1"/>
        </w:numPr>
        <w:tabs>
          <w:tab w:val="clear" w:pos="1080"/>
          <w:tab w:val="num" w:pos="360"/>
          <w:tab w:val="num" w:pos="3060"/>
        </w:tabs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732ECE">
        <w:rPr>
          <w:b/>
        </w:rPr>
        <w:t xml:space="preserve">Zvuk – zpracovávání zvuku, nutný hardware a vhodný software. </w:t>
      </w: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Pr="007A61FD" w:rsidRDefault="001B0C66" w:rsidP="001B0C66">
      <w:pPr>
        <w:pStyle w:val="Nadpis1"/>
        <w:rPr>
          <w:sz w:val="26"/>
          <w:szCs w:val="26"/>
          <w:u w:val="single"/>
        </w:rPr>
      </w:pPr>
      <w:r>
        <w:br w:type="page"/>
      </w:r>
    </w:p>
    <w:p w:rsidR="00A51F75" w:rsidRDefault="00A51F75" w:rsidP="001B0C66">
      <w:pPr>
        <w:pStyle w:val="Nadpis2"/>
        <w:jc w:val="both"/>
      </w:pPr>
    </w:p>
    <w:p w:rsidR="001B0C66" w:rsidRPr="00E10A86" w:rsidRDefault="001B0C66" w:rsidP="001B0C66">
      <w:pPr>
        <w:pStyle w:val="Nadpis2"/>
        <w:jc w:val="both"/>
      </w:pPr>
      <w:r w:rsidRPr="00E10A86">
        <w:t xml:space="preserve">Předmět: </w:t>
      </w:r>
      <w:r>
        <w:t xml:space="preserve">PSYCHOLOGIE A KOMUNIKACE </w:t>
      </w:r>
    </w:p>
    <w:p w:rsidR="001B0C66" w:rsidRPr="00AE684C" w:rsidRDefault="001B0C66" w:rsidP="001B0C66">
      <w:pPr>
        <w:jc w:val="both"/>
        <w:rPr>
          <w:b/>
          <w:sz w:val="26"/>
          <w:szCs w:val="26"/>
        </w:rPr>
      </w:pPr>
    </w:p>
    <w:p w:rsidR="001B0C66" w:rsidRPr="001E40D0" w:rsidRDefault="001B0C66" w:rsidP="001B0C66">
      <w:pPr>
        <w:pStyle w:val="Nadpis2"/>
      </w:pPr>
      <w:r>
        <w:t>Přehled oblastí</w:t>
      </w:r>
      <w:r w:rsidRPr="001E40D0">
        <w:t xml:space="preserve"> </w:t>
      </w:r>
      <w:r>
        <w:t>k volbě tématu</w:t>
      </w:r>
      <w:r w:rsidRPr="001E40D0">
        <w:t xml:space="preserve"> maturitní </w:t>
      </w:r>
      <w:r>
        <w:t>práce z Psychologie a komunikace</w:t>
      </w:r>
    </w:p>
    <w:p w:rsidR="001B0C66" w:rsidRPr="00732ECE" w:rsidRDefault="001B0C66" w:rsidP="001B0C66">
      <w:pPr>
        <w:jc w:val="both"/>
        <w:rPr>
          <w:b/>
          <w:i/>
          <w:u w:val="single"/>
        </w:rPr>
      </w:pPr>
      <w:r w:rsidRPr="001B0C66">
        <w:rPr>
          <w:b/>
          <w:i/>
          <w:highlight w:val="cyan"/>
          <w:u w:val="single"/>
        </w:rPr>
        <w:t>Maturitní práce a její obhajoba – nepovinná maturitní zkouška</w:t>
      </w:r>
    </w:p>
    <w:p w:rsidR="001B0C66" w:rsidRDefault="001B0C66" w:rsidP="001B0C66">
      <w:pPr>
        <w:jc w:val="both"/>
        <w:rPr>
          <w:b/>
        </w:rPr>
      </w:pPr>
    </w:p>
    <w:p w:rsidR="001B0C66" w:rsidRPr="001E40D0" w:rsidRDefault="001B0C66" w:rsidP="001B0C66">
      <w:pPr>
        <w:jc w:val="both"/>
        <w:rPr>
          <w:b/>
        </w:rPr>
      </w:pP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Osobnost zdravotnického asistenta 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Zátěžové situace v profesním životě zdravotnického </w:t>
      </w:r>
      <w:r>
        <w:rPr>
          <w:b/>
        </w:rPr>
        <w:t>asistenta</w:t>
      </w:r>
      <w:r w:rsidRPr="00E10A86">
        <w:rPr>
          <w:b/>
        </w:rPr>
        <w:t>, syndrom vyhoření a psychohygiena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Osobnost a poruchy osobnosti 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Vrozené a získané vlastnosti osobnosti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Nemoc jako zátěžová situace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Vztah nemocného k nemoci, prožitky nemocných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Zákonitosti psychického vývoje člověka, periodizace vývoje člověka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Podmínky efektivní komunikace a základy neverbální komunikace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Základy verbální komunikace mezi zdravotnickým asistentem a nemocným</w:t>
      </w:r>
    </w:p>
    <w:p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 xml:space="preserve">Psychologie mentálně </w:t>
      </w:r>
      <w:r>
        <w:rPr>
          <w:b/>
        </w:rPr>
        <w:t xml:space="preserve">postižených </w:t>
      </w:r>
      <w:r w:rsidRPr="00E10A86">
        <w:rPr>
          <w:b/>
        </w:rPr>
        <w:t>a základy komunikace</w:t>
      </w:r>
      <w:r>
        <w:rPr>
          <w:b/>
        </w:rPr>
        <w:t xml:space="preserve"> </w:t>
      </w:r>
      <w:r w:rsidRPr="00E10A86">
        <w:rPr>
          <w:b/>
        </w:rPr>
        <w:t>s handicapovaným nemocným</w:t>
      </w:r>
    </w:p>
    <w:p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Psychologie tělesně postižených</w:t>
      </w:r>
      <w:r w:rsidRPr="0060095B">
        <w:rPr>
          <w:b/>
        </w:rPr>
        <w:t xml:space="preserve"> </w:t>
      </w:r>
      <w:r w:rsidRPr="00E10A86">
        <w:rPr>
          <w:b/>
        </w:rPr>
        <w:t>a základy komunikace</w:t>
      </w:r>
      <w:r>
        <w:rPr>
          <w:b/>
        </w:rPr>
        <w:t xml:space="preserve"> </w:t>
      </w:r>
      <w:r w:rsidRPr="00E10A86">
        <w:rPr>
          <w:b/>
        </w:rPr>
        <w:t>s handicapovaným nemocným</w:t>
      </w:r>
      <w:r>
        <w:rPr>
          <w:b/>
        </w:rPr>
        <w:t xml:space="preserve"> </w:t>
      </w:r>
    </w:p>
    <w:p w:rsidR="001B0C6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smyslově handicapovaných a základy komunikace s handicapovaným nemocným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starého člověka a starý člověk jako nemocný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dospělého věku a dospělý člověk jako nemocný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člověka v období puberty a adolescence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dítěte v předškolním období a v období mladšího školního věku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Vývoj dítěte v období batolete a výchovné problémy v tomto období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E10A86">
        <w:rPr>
          <w:b/>
        </w:rPr>
        <w:t>Vývoj dítěte v období novorozeneckém a kojeneckém</w:t>
      </w:r>
      <w:r>
        <w:rPr>
          <w:b/>
        </w:rPr>
        <w:t>,</w:t>
      </w:r>
      <w:r w:rsidRPr="00E10A86">
        <w:rPr>
          <w:b/>
        </w:rPr>
        <w:t xml:space="preserve"> tělesný vývoj a adaptace</w:t>
      </w:r>
      <w:r w:rsidRPr="00E10A86">
        <w:t xml:space="preserve"> 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Potřeby a uspokojování potřeb v zátěžových situacích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Dítě v nemocnici a hospitalizmus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Syndrom CAN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Základy výchovy v rodině a ve zdravotnických zařízeních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Základy sociální psychologie, socializace a s</w:t>
      </w:r>
      <w:r w:rsidRPr="00E10A86">
        <w:rPr>
          <w:b/>
        </w:rPr>
        <w:t>ociální skupiny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Psychologie těžce nemocných</w:t>
      </w:r>
    </w:p>
    <w:p w:rsidR="001B0C66" w:rsidRPr="00E10A86" w:rsidRDefault="001B0C66" w:rsidP="001B0C6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E10A86">
        <w:rPr>
          <w:b/>
        </w:rPr>
        <w:t>Těžká nemoc v rodině, pomoc a přístup zdravotníka k rodinným příslušníkům</w:t>
      </w:r>
    </w:p>
    <w:p w:rsidR="001B0C66" w:rsidRPr="00E10A86" w:rsidRDefault="001B0C66" w:rsidP="001B0C66">
      <w:pPr>
        <w:ind w:left="360"/>
        <w:jc w:val="both"/>
      </w:pPr>
      <w:r w:rsidRPr="00E10A86">
        <w:t xml:space="preserve"> </w:t>
      </w: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1B0C66" w:rsidRDefault="001B0C66" w:rsidP="001B0C66">
      <w:pPr>
        <w:tabs>
          <w:tab w:val="num" w:pos="720"/>
        </w:tabs>
        <w:overflowPunct/>
        <w:autoSpaceDE/>
        <w:autoSpaceDN/>
        <w:adjustRightInd/>
        <w:textAlignment w:val="auto"/>
      </w:pPr>
    </w:p>
    <w:p w:rsidR="00B02651" w:rsidRDefault="00B02651"/>
    <w:sectPr w:rsidR="00B026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32" w:rsidRDefault="00153B32">
      <w:r>
        <w:separator/>
      </w:r>
    </w:p>
  </w:endnote>
  <w:endnote w:type="continuationSeparator" w:id="0">
    <w:p w:rsidR="00153B32" w:rsidRDefault="0015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3" w:rsidRDefault="00153B32" w:rsidP="00CE1C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4413" w:rsidRDefault="00153B32" w:rsidP="00621E3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3" w:rsidRDefault="00153B32" w:rsidP="00CE1C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F75">
      <w:rPr>
        <w:rStyle w:val="slostrnky"/>
        <w:noProof/>
      </w:rPr>
      <w:t>4</w:t>
    </w:r>
    <w:r>
      <w:rPr>
        <w:rStyle w:val="slostrnky"/>
      </w:rPr>
      <w:fldChar w:fldCharType="end"/>
    </w:r>
  </w:p>
  <w:p w:rsidR="006D4413" w:rsidRDefault="00153B32" w:rsidP="00621E3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32" w:rsidRDefault="00153B32">
      <w:r>
        <w:separator/>
      </w:r>
    </w:p>
  </w:footnote>
  <w:footnote w:type="continuationSeparator" w:id="0">
    <w:p w:rsidR="00153B32" w:rsidRDefault="0015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0F1"/>
    <w:multiLevelType w:val="hybridMultilevel"/>
    <w:tmpl w:val="A83457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DF5A17"/>
    <w:multiLevelType w:val="hybridMultilevel"/>
    <w:tmpl w:val="55C4C6D0"/>
    <w:lvl w:ilvl="0" w:tplc="E3FE3C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E9476E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27CAC"/>
    <w:multiLevelType w:val="hybridMultilevel"/>
    <w:tmpl w:val="6C44D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6"/>
    <w:rsid w:val="00153B32"/>
    <w:rsid w:val="001B0C66"/>
    <w:rsid w:val="00A51F75"/>
    <w:rsid w:val="00B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B0C66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C6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0C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1B0C6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patChar">
    <w:name w:val="Zápatí Char"/>
    <w:basedOn w:val="Standardnpsmoodstavce"/>
    <w:link w:val="Zpat"/>
    <w:rsid w:val="001B0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B0C66"/>
  </w:style>
  <w:style w:type="paragraph" w:styleId="Textbubliny">
    <w:name w:val="Balloon Text"/>
    <w:basedOn w:val="Normln"/>
    <w:link w:val="TextbublinyChar"/>
    <w:uiPriority w:val="99"/>
    <w:semiHidden/>
    <w:unhideWhenUsed/>
    <w:rsid w:val="00A51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F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B0C66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C6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0C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1B0C6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patChar">
    <w:name w:val="Zápatí Char"/>
    <w:basedOn w:val="Standardnpsmoodstavce"/>
    <w:link w:val="Zpat"/>
    <w:rsid w:val="001B0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B0C66"/>
  </w:style>
  <w:style w:type="paragraph" w:styleId="Textbubliny">
    <w:name w:val="Balloon Text"/>
    <w:basedOn w:val="Normln"/>
    <w:link w:val="TextbublinyChar"/>
    <w:uiPriority w:val="99"/>
    <w:semiHidden/>
    <w:unhideWhenUsed/>
    <w:rsid w:val="00A51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F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2</cp:revision>
  <cp:lastPrinted>2017-09-26T12:11:00Z</cp:lastPrinted>
  <dcterms:created xsi:type="dcterms:W3CDTF">2017-09-26T12:12:00Z</dcterms:created>
  <dcterms:modified xsi:type="dcterms:W3CDTF">2017-09-26T12:12:00Z</dcterms:modified>
</cp:coreProperties>
</file>